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25468FFB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587CAB">
        <w:rPr>
          <w:bCs/>
          <w:szCs w:val="24"/>
          <w:lang w:eastAsia="ja-JP"/>
        </w:rPr>
        <w:t>#111</w:t>
      </w:r>
      <w:r w:rsidR="00F50DE5">
        <w:rPr>
          <w:bCs/>
          <w:szCs w:val="24"/>
          <w:lang w:eastAsia="ja-JP"/>
        </w:rPr>
        <w:t>e</w:t>
      </w:r>
      <w:r w:rsidR="009D0193" w:rsidRPr="009470B1">
        <w:rPr>
          <w:sz w:val="28"/>
          <w:lang w:val="en-US"/>
        </w:rPr>
        <w:tab/>
      </w:r>
      <w:r w:rsidR="00D845F2" w:rsidRPr="00D845F2">
        <w:rPr>
          <w:sz w:val="28"/>
          <w:lang w:val="en-US"/>
        </w:rPr>
        <w:t>R2-2008534</w:t>
      </w:r>
    </w:p>
    <w:p w14:paraId="56542E87" w14:textId="5C345BAE" w:rsidR="009D0193" w:rsidRDefault="00625B6D" w:rsidP="009D0193">
      <w:pPr>
        <w:pStyle w:val="3GPPHeader"/>
        <w:rPr>
          <w:rFonts w:cs="Arial"/>
          <w:lang w:val="en-US"/>
        </w:rPr>
      </w:pPr>
      <w:r w:rsidRPr="00625B6D">
        <w:t>eMeeting, 17</w:t>
      </w:r>
      <w:r w:rsidRPr="00625B6D">
        <w:rPr>
          <w:vertAlign w:val="superscript"/>
        </w:rPr>
        <w:t>th</w:t>
      </w:r>
      <w:r>
        <w:t xml:space="preserve"> </w:t>
      </w:r>
      <w:r w:rsidRPr="00625B6D">
        <w:t>– 28</w:t>
      </w:r>
      <w:r w:rsidRPr="00625B6D">
        <w:rPr>
          <w:vertAlign w:val="superscript"/>
        </w:rPr>
        <w:t>th</w:t>
      </w:r>
      <w:r w:rsidRPr="00625B6D">
        <w:t>, August, 2020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0C11F835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="001A169F" w:rsidRPr="001A169F">
        <w:rPr>
          <w:rFonts w:ascii="Arial" w:hAnsi="Arial" w:cs="Arial"/>
          <w:b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Draft</w:t>
      </w:r>
      <w:r w:rsidR="001A169F" w:rsidRPr="001A169F">
        <w:rPr>
          <w:rFonts w:ascii="Arial" w:hAnsi="Arial" w:cs="Arial"/>
          <w:highlight w:val="yellow"/>
        </w:rPr>
        <w:t>]</w:t>
      </w:r>
      <w:r w:rsidR="00D3193D">
        <w:rPr>
          <w:rFonts w:ascii="Arial" w:hAnsi="Arial" w:cs="Arial"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3"/>
      <w:r w:rsidR="00587CAB" w:rsidRPr="00587CAB">
        <w:rPr>
          <w:rFonts w:ascii="Arial" w:hAnsi="Arial" w:cs="Arial"/>
        </w:rPr>
        <w:t>simultaneous</w:t>
      </w:r>
      <w:r w:rsidR="009B01F6">
        <w:rPr>
          <w:rFonts w:ascii="Arial" w:hAnsi="Arial" w:cs="Arial"/>
        </w:rPr>
        <w:t xml:space="preserve"> </w:t>
      </w:r>
      <w:r w:rsidR="00587CAB" w:rsidRPr="00587CAB">
        <w:rPr>
          <w:rFonts w:ascii="Arial" w:hAnsi="Arial" w:cs="Arial"/>
        </w:rPr>
        <w:t>R</w:t>
      </w:r>
      <w:bookmarkStart w:id="4" w:name="_GoBack"/>
      <w:bookmarkEnd w:id="4"/>
      <w:r w:rsidR="00587CAB" w:rsidRPr="00587CAB">
        <w:rPr>
          <w:rFonts w:ascii="Arial" w:hAnsi="Arial" w:cs="Arial"/>
        </w:rPr>
        <w:t>x</w:t>
      </w:r>
      <w:r w:rsidR="009B01F6">
        <w:rPr>
          <w:rFonts w:ascii="Arial" w:hAnsi="Arial" w:cs="Arial"/>
        </w:rPr>
        <w:t>/</w:t>
      </w:r>
      <w:r w:rsidR="00587CAB" w:rsidRPr="00587CAB">
        <w:rPr>
          <w:rFonts w:ascii="Arial" w:hAnsi="Arial" w:cs="Arial"/>
        </w:rPr>
        <w:t xml:space="preserve">Tx for </w:t>
      </w:r>
      <w:r w:rsidR="009B01F6">
        <w:rPr>
          <w:rFonts w:ascii="Arial" w:hAnsi="Arial" w:cs="Arial"/>
        </w:rPr>
        <w:t xml:space="preserve">inter-band </w:t>
      </w:r>
      <w:r w:rsidR="00587CAB" w:rsidRPr="00587CAB">
        <w:rPr>
          <w:rFonts w:ascii="Arial" w:hAnsi="Arial" w:cs="Arial"/>
        </w:rPr>
        <w:t>NR</w:t>
      </w:r>
      <w:r w:rsidR="00587CAB">
        <w:rPr>
          <w:rFonts w:ascii="Arial" w:hAnsi="Arial" w:cs="Arial"/>
        </w:rPr>
        <w:t>-DC</w:t>
      </w:r>
    </w:p>
    <w:bookmarkEnd w:id="2"/>
    <w:p w14:paraId="4017600A" w14:textId="03D237CF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587CAB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126BE06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169F">
        <w:rPr>
          <w:rFonts w:ascii="Arial" w:hAnsi="Arial" w:cs="Arial"/>
        </w:rPr>
        <w:t>MediaTek</w:t>
      </w:r>
      <w:r w:rsidR="00D3193D">
        <w:rPr>
          <w:rFonts w:ascii="Arial" w:hAnsi="Arial" w:cs="Arial"/>
        </w:rPr>
        <w:t xml:space="preserve"> </w:t>
      </w:r>
      <w:r w:rsidR="00D3193D" w:rsidRPr="001A169F">
        <w:rPr>
          <w:rFonts w:ascii="Arial" w:hAnsi="Arial" w:cs="Arial"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to be RAN2</w:t>
      </w:r>
      <w:r w:rsidR="00BC1113" w:rsidRPr="001A169F">
        <w:rPr>
          <w:rFonts w:ascii="Arial" w:hAnsi="Arial" w:cs="Arial"/>
          <w:highlight w:val="yellow"/>
        </w:rPr>
        <w:t>]</w:t>
      </w:r>
    </w:p>
    <w:p w14:paraId="3110385B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5C168177" w14:textId="3B08F33C" w:rsidR="00F866A5" w:rsidRDefault="00F866A5" w:rsidP="00A3479B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</w:rPr>
        <w:t xml:space="preserve">RAN2 has discussed whether the </w:t>
      </w:r>
      <w:r w:rsidR="00737F0D" w:rsidRPr="00F866A5">
        <w:rPr>
          <w:rFonts w:ascii="Arial" w:hAnsi="Arial" w:cs="Arial"/>
          <w:lang w:val="en-US" w:eastAsia="sv-SE"/>
        </w:rPr>
        <w:t xml:space="preserve">simultaneous RxTx UE capability </w:t>
      </w:r>
      <w:r w:rsidR="00737F0D">
        <w:rPr>
          <w:rFonts w:ascii="Arial" w:hAnsi="Arial" w:cs="Arial"/>
          <w:lang w:val="en-US" w:eastAsia="sv-SE"/>
        </w:rPr>
        <w:t xml:space="preserve">is needed </w:t>
      </w:r>
      <w:r w:rsidR="00737F0D" w:rsidRPr="00F866A5">
        <w:rPr>
          <w:rFonts w:ascii="Arial" w:hAnsi="Arial" w:cs="Arial"/>
          <w:lang w:val="en-US" w:eastAsia="sv-SE"/>
        </w:rPr>
        <w:t>for inter-band</w:t>
      </w:r>
      <w:r w:rsidR="00737F0D">
        <w:rPr>
          <w:rFonts w:ascii="Arial" w:hAnsi="Arial" w:cs="Arial"/>
          <w:lang w:val="en-US" w:eastAsia="sv-SE"/>
        </w:rPr>
        <w:t xml:space="preserve"> NR-DC (</w:t>
      </w:r>
      <w:r w:rsidR="00737F0D" w:rsidRPr="00F866A5">
        <w:rPr>
          <w:rFonts w:ascii="Arial" w:hAnsi="Arial" w:cs="Arial"/>
          <w:lang w:val="en-US" w:eastAsia="sv-SE"/>
        </w:rPr>
        <w:t xml:space="preserve">for TDD-TDD and TDD-FDD </w:t>
      </w:r>
      <w:r w:rsidR="00DF3178">
        <w:rPr>
          <w:rFonts w:ascii="Arial" w:hAnsi="Arial" w:cs="Arial"/>
          <w:lang w:val="en-US" w:eastAsia="sv-SE"/>
        </w:rPr>
        <w:t xml:space="preserve">band </w:t>
      </w:r>
      <w:r w:rsidR="00737F0D" w:rsidRPr="00F866A5">
        <w:rPr>
          <w:rFonts w:ascii="Arial" w:hAnsi="Arial" w:cs="Arial"/>
          <w:lang w:val="en-US" w:eastAsia="sv-SE"/>
        </w:rPr>
        <w:t>combinations</w:t>
      </w:r>
      <w:r w:rsidR="00737F0D">
        <w:rPr>
          <w:rFonts w:ascii="Arial" w:hAnsi="Arial" w:cs="Arial"/>
          <w:lang w:val="en-US" w:eastAsia="sv-SE"/>
        </w:rPr>
        <w:t>) but does not reach consensus. In TS 38.306</w:t>
      </w:r>
      <w:r w:rsidR="00DF3178">
        <w:rPr>
          <w:rFonts w:ascii="Arial" w:hAnsi="Arial" w:cs="Arial"/>
          <w:lang w:val="en-US" w:eastAsia="sv-SE"/>
        </w:rPr>
        <w:t>, there are</w:t>
      </w:r>
      <w:r w:rsidR="00737F0D">
        <w:rPr>
          <w:rFonts w:ascii="Arial" w:hAnsi="Arial" w:cs="Arial"/>
          <w:lang w:val="en-US" w:eastAsia="sv-SE"/>
        </w:rPr>
        <w:t xml:space="preserve"> </w:t>
      </w:r>
      <w:r w:rsidR="00DF3178">
        <w:rPr>
          <w:rFonts w:ascii="Arial" w:hAnsi="Arial" w:cs="Arial"/>
          <w:lang w:val="en-US" w:eastAsia="sv-SE"/>
        </w:rPr>
        <w:t>simultaneous RxTx UE capabilities for</w:t>
      </w:r>
      <w:r w:rsidR="00737F0D">
        <w:rPr>
          <w:rFonts w:ascii="Arial" w:hAnsi="Arial" w:cs="Arial"/>
          <w:lang w:val="en-US" w:eastAsia="sv-SE"/>
        </w:rPr>
        <w:t xml:space="preserve"> NR CA and </w:t>
      </w:r>
      <w:r w:rsidR="00DF3178">
        <w:rPr>
          <w:rFonts w:ascii="Arial" w:hAnsi="Arial" w:cs="Arial"/>
          <w:lang w:val="en-US" w:eastAsia="sv-SE"/>
        </w:rPr>
        <w:t>(NG)</w:t>
      </w:r>
      <w:r w:rsidR="00737F0D">
        <w:rPr>
          <w:rFonts w:ascii="Arial" w:hAnsi="Arial" w:cs="Arial"/>
          <w:lang w:val="en-US" w:eastAsia="sv-SE"/>
        </w:rPr>
        <w:t>EN-DC</w:t>
      </w:r>
      <w:r w:rsidR="00DF3178">
        <w:rPr>
          <w:rFonts w:ascii="Arial" w:hAnsi="Arial" w:cs="Arial"/>
          <w:lang w:val="en-US" w:eastAsia="sv-SE"/>
        </w:rPr>
        <w:t>/NE-DC</w:t>
      </w:r>
      <w:r w:rsidR="00737F0D">
        <w:rPr>
          <w:rFonts w:ascii="Arial" w:hAnsi="Arial" w:cs="Arial"/>
          <w:lang w:val="en-US" w:eastAsia="sv-SE"/>
        </w:rPr>
        <w:t xml:space="preserve"> defined as following: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37F0D" w:rsidRPr="004752D8" w14:paraId="63D60C88" w14:textId="77777777" w:rsidTr="00DA0BCA">
        <w:trPr>
          <w:cantSplit/>
          <w:tblHeader/>
        </w:trPr>
        <w:tc>
          <w:tcPr>
            <w:tcW w:w="6917" w:type="dxa"/>
          </w:tcPr>
          <w:p w14:paraId="0B1B9563" w14:textId="77777777" w:rsidR="00737F0D" w:rsidRPr="004752D8" w:rsidRDefault="00737F0D" w:rsidP="00DA0BCA">
            <w:pPr>
              <w:pStyle w:val="TAL"/>
              <w:rPr>
                <w:b/>
                <w:bCs/>
                <w:i/>
                <w:iCs/>
              </w:rPr>
            </w:pPr>
            <w:r w:rsidRPr="004752D8">
              <w:rPr>
                <w:b/>
                <w:bCs/>
                <w:i/>
                <w:iCs/>
              </w:rPr>
              <w:t>simultaneousRxTxInterBandCA</w:t>
            </w:r>
          </w:p>
          <w:p w14:paraId="3C3EB9BA" w14:textId="77777777" w:rsidR="00737F0D" w:rsidRPr="004752D8" w:rsidRDefault="00737F0D" w:rsidP="00DA0BCA">
            <w:pPr>
              <w:pStyle w:val="TAL"/>
            </w:pPr>
            <w:r w:rsidRPr="004752D8">
              <w:rPr>
                <w:bCs/>
                <w:iCs/>
              </w:rPr>
              <w:t>Indicates whether the UE supports simultaneous transmission and reception in TDD-TDD and TDD-FDD inter-band NR CA. It is mandatory for certain TDD-FDD and TDD-TDD band combinations defined in TS 38.101-1 [2], TS 38.101-2 [3] and TS 38.101-3 [4].</w:t>
            </w:r>
          </w:p>
        </w:tc>
        <w:tc>
          <w:tcPr>
            <w:tcW w:w="709" w:type="dxa"/>
          </w:tcPr>
          <w:p w14:paraId="4D67E857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6492E4B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6081C12B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t>N/A</w:t>
            </w:r>
          </w:p>
        </w:tc>
        <w:tc>
          <w:tcPr>
            <w:tcW w:w="728" w:type="dxa"/>
          </w:tcPr>
          <w:p w14:paraId="6CDC8B39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t>N/A</w:t>
            </w:r>
          </w:p>
        </w:tc>
      </w:tr>
    </w:tbl>
    <w:p w14:paraId="5CC7C772" w14:textId="77777777" w:rsidR="00737F0D" w:rsidRDefault="00737F0D" w:rsidP="00A3479B">
      <w:pPr>
        <w:spacing w:after="180"/>
        <w:jc w:val="both"/>
        <w:rPr>
          <w:rFonts w:ascii="Arial" w:hAnsi="Arial" w:cs="Arial"/>
          <w:lang w:val="en-US" w:eastAsia="sv-SE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37F0D" w:rsidRPr="004752D8" w14:paraId="4BCD3E0D" w14:textId="77777777" w:rsidTr="00DA0BCA">
        <w:trPr>
          <w:cantSplit/>
          <w:tblHeader/>
        </w:trPr>
        <w:tc>
          <w:tcPr>
            <w:tcW w:w="6917" w:type="dxa"/>
          </w:tcPr>
          <w:p w14:paraId="580D43AE" w14:textId="77777777" w:rsidR="00737F0D" w:rsidRPr="004752D8" w:rsidRDefault="00737F0D" w:rsidP="00DA0BCA">
            <w:pPr>
              <w:pStyle w:val="TAL"/>
              <w:rPr>
                <w:b/>
                <w:bCs/>
                <w:i/>
                <w:iCs/>
              </w:rPr>
            </w:pPr>
            <w:r w:rsidRPr="004752D8">
              <w:rPr>
                <w:b/>
                <w:bCs/>
                <w:i/>
                <w:iCs/>
              </w:rPr>
              <w:t>simultaneousRxTxInterBandENDC</w:t>
            </w:r>
          </w:p>
          <w:p w14:paraId="0FEA4A92" w14:textId="77777777" w:rsidR="00737F0D" w:rsidRPr="004752D8" w:rsidRDefault="00737F0D" w:rsidP="00DA0BCA">
            <w:pPr>
              <w:pStyle w:val="TAL"/>
            </w:pPr>
            <w:r w:rsidRPr="004752D8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4752D8">
              <w:t>(NG)</w:t>
            </w:r>
            <w:r w:rsidRPr="004752D8">
              <w:rPr>
                <w:bCs/>
                <w:iCs/>
              </w:rPr>
              <w:t>EN-DC/NE-DC. It is mandatory for certain TDD-FDD and TDD-TDD band combinations defined in TS 38.101-3 [4].</w:t>
            </w:r>
          </w:p>
        </w:tc>
        <w:tc>
          <w:tcPr>
            <w:tcW w:w="709" w:type="dxa"/>
          </w:tcPr>
          <w:p w14:paraId="2A3B8D25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9A29091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7C90F97E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t>N/A</w:t>
            </w:r>
          </w:p>
        </w:tc>
        <w:tc>
          <w:tcPr>
            <w:tcW w:w="728" w:type="dxa"/>
          </w:tcPr>
          <w:p w14:paraId="60C04969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t>N/A</w:t>
            </w:r>
          </w:p>
        </w:tc>
      </w:tr>
    </w:tbl>
    <w:p w14:paraId="2DF04CC1" w14:textId="77777777" w:rsidR="00BE5490" w:rsidRDefault="00BE5490" w:rsidP="00F866A5">
      <w:pPr>
        <w:spacing w:after="180"/>
        <w:jc w:val="both"/>
        <w:rPr>
          <w:rFonts w:ascii="Arial" w:hAnsi="Arial" w:cs="Arial"/>
          <w:lang w:val="en-US" w:eastAsia="sv-SE"/>
        </w:rPr>
      </w:pPr>
    </w:p>
    <w:p w14:paraId="132D0CF9" w14:textId="224558DA" w:rsidR="00F866A5" w:rsidRPr="00F866A5" w:rsidRDefault="0009564E" w:rsidP="00F866A5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The capabilities are introduced based on the LS from RAN4 [1] but it </w:t>
      </w:r>
      <w:r w:rsidR="0076566A">
        <w:rPr>
          <w:rFonts w:ascii="Arial" w:hAnsi="Arial" w:cs="Arial"/>
          <w:lang w:val="en-US" w:eastAsia="sv-SE"/>
        </w:rPr>
        <w:t xml:space="preserve">is </w:t>
      </w:r>
      <w:r>
        <w:rPr>
          <w:rFonts w:ascii="Arial" w:hAnsi="Arial" w:cs="Arial"/>
          <w:lang w:val="en-US" w:eastAsia="sv-SE"/>
        </w:rPr>
        <w:t xml:space="preserve">not clear that whether similar capability is required for NR-DC. </w:t>
      </w:r>
      <w:r w:rsidR="00651A7A">
        <w:rPr>
          <w:rFonts w:ascii="Arial" w:hAnsi="Arial" w:cs="Arial"/>
          <w:lang w:val="en-US" w:eastAsia="sv-SE"/>
        </w:rPr>
        <w:t xml:space="preserve">RAN2 would like to consult with RAN4 on </w:t>
      </w:r>
      <w:r w:rsidR="00A70169">
        <w:rPr>
          <w:rFonts w:ascii="Arial" w:hAnsi="Arial" w:cs="Arial"/>
          <w:lang w:val="en-US" w:eastAsia="sv-SE"/>
        </w:rPr>
        <w:t>the need of this capability.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EBA31B3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9B01F6">
        <w:rPr>
          <w:rFonts w:ascii="Arial" w:hAnsi="Arial" w:cs="Arial"/>
        </w:rPr>
        <w:t>provide guideline on</w:t>
      </w:r>
      <w:r w:rsidR="00DF3178">
        <w:rPr>
          <w:rFonts w:ascii="Arial" w:hAnsi="Arial" w:cs="Arial"/>
        </w:rPr>
        <w:t xml:space="preserve"> whether </w:t>
      </w:r>
      <w:r w:rsidR="00DF3178" w:rsidRPr="00F866A5">
        <w:rPr>
          <w:rFonts w:ascii="Arial" w:hAnsi="Arial" w:cs="Arial"/>
          <w:lang w:val="en-US" w:eastAsia="sv-SE"/>
        </w:rPr>
        <w:t xml:space="preserve">simultaneous RxTx UE capability </w:t>
      </w:r>
      <w:r w:rsidR="00DF3178">
        <w:rPr>
          <w:rFonts w:ascii="Arial" w:hAnsi="Arial" w:cs="Arial"/>
          <w:lang w:val="en-US" w:eastAsia="sv-SE"/>
        </w:rPr>
        <w:t xml:space="preserve">is needed </w:t>
      </w:r>
      <w:r w:rsidR="00DF3178" w:rsidRPr="00F866A5">
        <w:rPr>
          <w:rFonts w:ascii="Arial" w:hAnsi="Arial" w:cs="Arial"/>
          <w:lang w:val="en-US" w:eastAsia="sv-SE"/>
        </w:rPr>
        <w:t>for inter-band</w:t>
      </w:r>
      <w:r w:rsidR="00DF3178">
        <w:rPr>
          <w:rFonts w:ascii="Arial" w:hAnsi="Arial" w:cs="Arial"/>
          <w:lang w:val="en-US" w:eastAsia="sv-SE"/>
        </w:rPr>
        <w:t xml:space="preserve"> NR-DC</w:t>
      </w:r>
      <w:r w:rsidR="00BE5490">
        <w:rPr>
          <w:rFonts w:ascii="Arial" w:hAnsi="Arial" w:cs="Arial"/>
          <w:lang w:val="en-US" w:eastAsia="sv-SE"/>
        </w:rPr>
        <w:t>.</w:t>
      </w: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6E105C1A" w:rsidR="000E39B6" w:rsidRPr="00BE6EC6" w:rsidRDefault="009B01F6" w:rsidP="000E39B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Pr="009B01F6">
        <w:rPr>
          <w:rFonts w:ascii="Arial" w:hAnsi="Arial" w:cs="Arial"/>
          <w:bCs/>
        </w:rPr>
        <w:t>R4-1808093</w:t>
      </w:r>
      <w:r>
        <w:rPr>
          <w:rFonts w:ascii="Arial" w:hAnsi="Arial" w:cs="Arial"/>
          <w:bCs/>
        </w:rPr>
        <w:t>, “</w:t>
      </w:r>
      <w:r w:rsidRPr="009B01F6">
        <w:rPr>
          <w:rFonts w:ascii="Arial" w:hAnsi="Arial" w:cs="Arial"/>
          <w:bCs/>
        </w:rPr>
        <w:t>Reply LS to RAN2 on UE capability clarification for simultaneousRxTx for NR</w:t>
      </w:r>
      <w:r>
        <w:rPr>
          <w:rFonts w:ascii="Arial" w:hAnsi="Arial" w:cs="Arial"/>
          <w:bCs/>
        </w:rPr>
        <w:t>”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006D908D" w14:textId="77777777" w:rsidR="006F4CAA" w:rsidRDefault="006F4CAA" w:rsidP="00BE6EC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RAN2#112</w:t>
      </w:r>
      <w:r w:rsidR="00F50DE5">
        <w:rPr>
          <w:rFonts w:ascii="Arial" w:hAnsi="Arial" w:cs="Arial"/>
          <w:bCs/>
        </w:rPr>
        <w:t>e</w:t>
      </w:r>
      <w:r w:rsidR="009E728B">
        <w:rPr>
          <w:rFonts w:ascii="Arial" w:hAnsi="Arial" w:cs="Arial"/>
          <w:bCs/>
        </w:rPr>
        <w:t xml:space="preserve">, </w:t>
      </w:r>
      <w:r w:rsidR="00F50DE5">
        <w:rPr>
          <w:rFonts w:ascii="Arial" w:hAnsi="Arial" w:cs="Arial"/>
          <w:bCs/>
        </w:rPr>
        <w:t xml:space="preserve">eMeeting, </w:t>
      </w:r>
      <w:r>
        <w:rPr>
          <w:rFonts w:ascii="Arial" w:hAnsi="Arial" w:cs="Arial"/>
          <w:bCs/>
        </w:rPr>
        <w:t>02-13 Nov. 2020</w:t>
      </w:r>
    </w:p>
    <w:p w14:paraId="5DC8F3D1" w14:textId="237BB79D" w:rsidR="00756B1E" w:rsidRPr="00FF76A7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9B01F6">
        <w:rPr>
          <w:rFonts w:ascii="Arial" w:hAnsi="Arial" w:cs="Arial"/>
          <w:bCs/>
        </w:rPr>
        <w:t>113, Athens</w:t>
      </w:r>
      <w:r w:rsidR="00BE6EC6" w:rsidRPr="00BE6EC6">
        <w:rPr>
          <w:rFonts w:ascii="Arial" w:hAnsi="Arial" w:cs="Arial"/>
          <w:bCs/>
        </w:rPr>
        <w:t xml:space="preserve">, </w:t>
      </w:r>
      <w:r w:rsidR="009B01F6">
        <w:rPr>
          <w:rFonts w:ascii="Arial" w:hAnsi="Arial" w:cs="Arial"/>
          <w:bCs/>
        </w:rPr>
        <w:t>01-05 March. 2021</w:t>
      </w:r>
    </w:p>
    <w:sectPr w:rsidR="00756B1E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96610" w14:textId="77777777" w:rsidR="00354AED" w:rsidRDefault="00354AED">
      <w:r>
        <w:separator/>
      </w:r>
    </w:p>
  </w:endnote>
  <w:endnote w:type="continuationSeparator" w:id="0">
    <w:p w14:paraId="64DA6355" w14:textId="77777777" w:rsidR="00354AED" w:rsidRDefault="00354AED">
      <w:r>
        <w:continuationSeparator/>
      </w:r>
    </w:p>
  </w:endnote>
  <w:endnote w:type="continuationNotice" w:id="1">
    <w:p w14:paraId="07D09750" w14:textId="77777777" w:rsidR="00354AED" w:rsidRDefault="00354A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2425A" w14:textId="77777777" w:rsidR="00354AED" w:rsidRDefault="00354AED">
      <w:r>
        <w:separator/>
      </w:r>
    </w:p>
  </w:footnote>
  <w:footnote w:type="continuationSeparator" w:id="0">
    <w:p w14:paraId="3D017D19" w14:textId="77777777" w:rsidR="00354AED" w:rsidRDefault="00354AED">
      <w:r>
        <w:continuationSeparator/>
      </w:r>
    </w:p>
  </w:footnote>
  <w:footnote w:type="continuationNotice" w:id="1">
    <w:p w14:paraId="2B0D3775" w14:textId="77777777" w:rsidR="00354AED" w:rsidRDefault="00354AE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537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564E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4AED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128E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12305"/>
    <w:rsid w:val="00420D49"/>
    <w:rsid w:val="004232D3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87CAB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02F1"/>
    <w:rsid w:val="00613E06"/>
    <w:rsid w:val="006206F7"/>
    <w:rsid w:val="00620E8F"/>
    <w:rsid w:val="00621CB4"/>
    <w:rsid w:val="006242A9"/>
    <w:rsid w:val="00625B6D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1A7A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4CAA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37F0D"/>
    <w:rsid w:val="00741A30"/>
    <w:rsid w:val="00745EEB"/>
    <w:rsid w:val="00751C89"/>
    <w:rsid w:val="00756B1E"/>
    <w:rsid w:val="0076033E"/>
    <w:rsid w:val="0076433F"/>
    <w:rsid w:val="00765258"/>
    <w:rsid w:val="0076566A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1F6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0169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5490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2E7E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45F2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3178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866A5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paragraph" w:customStyle="1" w:styleId="TAL">
    <w:name w:val="TAL"/>
    <w:basedOn w:val="Normal"/>
    <w:link w:val="TALCar"/>
    <w:qFormat/>
    <w:rsid w:val="00737F0D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737F0D"/>
    <w:rPr>
      <w:rFonts w:ascii="Arial" w:eastAsia="Malgun Gothic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15</cp:revision>
  <dcterms:created xsi:type="dcterms:W3CDTF">2018-07-02T22:21:00Z</dcterms:created>
  <dcterms:modified xsi:type="dcterms:W3CDTF">2020-08-27T07:58:00Z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